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4FC6" w:rsidRPr="007419D4" w:rsidRDefault="00154FC6" w:rsidP="00154FC6">
      <w:pPr>
        <w:pStyle w:val="Titre2"/>
      </w:pPr>
      <w:bookmarkStart w:id="0" w:name="_Toc151460050"/>
      <w:r>
        <w:t xml:space="preserve">Comment aborder l’annonce et amener le patient au soin dans l’obésité pédiatrique ? Sensibilisation - </w:t>
      </w:r>
      <w:proofErr w:type="spellStart"/>
      <w:r>
        <w:t>RéPPOP</w:t>
      </w:r>
      <w:proofErr w:type="spellEnd"/>
      <w:r>
        <w:t xml:space="preserve"> A</w:t>
      </w:r>
      <w:bookmarkEnd w:id="0"/>
    </w:p>
    <w:p w:rsidR="00154FC6" w:rsidRPr="007419D4" w:rsidRDefault="00154FC6" w:rsidP="00154FC6">
      <w:pPr>
        <w:pStyle w:val="Titre3"/>
      </w:pPr>
      <w:r w:rsidRPr="007419D4">
        <w:t>PREREQUIS</w:t>
      </w:r>
    </w:p>
    <w:p w:rsidR="00154FC6" w:rsidRPr="007419D4" w:rsidRDefault="00154FC6" w:rsidP="00154FC6">
      <w:r w:rsidRPr="0019692D">
        <w:t>Le programme est pluri professionnel, ouvert aux acteurs concernés par l’obésité pédiatrique, de la ville à l’hôpital : médecins ambulatoires (pédiatres, généralistes, endocrinologues…), médecins hospitaliers, diététiciens, psychologues, professionnels de l’activité physique, infirmiers ambulatoires ou hospitaliers, personnels de santé scolaire, PMI, médecins et infirmiers des collectivités territoriales…</w:t>
      </w:r>
    </w:p>
    <w:p w:rsidR="00154FC6" w:rsidRDefault="00154FC6" w:rsidP="00154FC6">
      <w:pPr>
        <w:pStyle w:val="Titre3"/>
      </w:pPr>
      <w:r w:rsidRPr="008C5EFC">
        <w:t>OBJECTIFS</w:t>
      </w:r>
    </w:p>
    <w:p w:rsidR="00154FC6" w:rsidRPr="00DD2B8C" w:rsidRDefault="00154FC6" w:rsidP="00154FC6">
      <w:r w:rsidRPr="00DD2B8C">
        <w:t>À l’issue du programme, les participants doivent avoir amélioré, en fonction de leurs besoins particuliers, leurs capacités à et/ou leurs connaissances pour :</w:t>
      </w:r>
    </w:p>
    <w:p w:rsidR="00154FC6" w:rsidRPr="00DD2B8C" w:rsidRDefault="00154FC6" w:rsidP="00154FC6">
      <w:pPr>
        <w:pStyle w:val="Titre4"/>
        <w:spacing w:after="0"/>
      </w:pPr>
      <w:r w:rsidRPr="00DD2B8C">
        <w:t>1 - Réaliser le (ou contribuer au) dépistage et à l’annonce du surpoids chez l’enfant</w:t>
      </w:r>
    </w:p>
    <w:p w:rsidR="00154FC6" w:rsidRPr="00DD2B8C" w:rsidRDefault="00154FC6" w:rsidP="00154FC6">
      <w:pPr>
        <w:numPr>
          <w:ilvl w:val="0"/>
          <w:numId w:val="5"/>
        </w:numPr>
        <w:spacing w:after="0" w:line="276" w:lineRule="auto"/>
        <w:jc w:val="both"/>
      </w:pPr>
      <w:r w:rsidRPr="00DD2B8C">
        <w:t>Citer les facteurs associés au risque de surpoids pédiatrique</w:t>
      </w:r>
    </w:p>
    <w:p w:rsidR="00154FC6" w:rsidRPr="00DD2B8C" w:rsidRDefault="00154FC6" w:rsidP="00154FC6">
      <w:pPr>
        <w:numPr>
          <w:ilvl w:val="0"/>
          <w:numId w:val="5"/>
        </w:numPr>
        <w:spacing w:after="200" w:line="276" w:lineRule="auto"/>
        <w:jc w:val="both"/>
      </w:pPr>
      <w:r w:rsidRPr="00DD2B8C">
        <w:t>Connaître et savoir utiliser les outils de dépistage, notamment pour annoncer et expliquer l’obésité aux familles</w:t>
      </w:r>
    </w:p>
    <w:p w:rsidR="00154FC6" w:rsidRPr="00DD2B8C" w:rsidRDefault="00154FC6" w:rsidP="00154FC6">
      <w:pPr>
        <w:pStyle w:val="Titre4"/>
        <w:spacing w:after="0"/>
      </w:pPr>
      <w:r w:rsidRPr="00DD2B8C">
        <w:t>2 - Faire l’évaluation initiale de la situation d’un enfant/adolescent en surpoids dans sa composante multifactorielle bio psycho sociale</w:t>
      </w:r>
    </w:p>
    <w:p w:rsidR="00154FC6" w:rsidRPr="00DD2B8C" w:rsidRDefault="00154FC6" w:rsidP="00154FC6">
      <w:pPr>
        <w:numPr>
          <w:ilvl w:val="0"/>
          <w:numId w:val="5"/>
        </w:numPr>
        <w:spacing w:after="0" w:line="276" w:lineRule="auto"/>
        <w:jc w:val="both"/>
      </w:pPr>
      <w:r w:rsidRPr="00DD2B8C">
        <w:t>Conduire une anamnèse centrée sur l'enfant ou l’adolescent et son entourage</w:t>
      </w:r>
    </w:p>
    <w:p w:rsidR="00154FC6" w:rsidRPr="00DD2B8C" w:rsidRDefault="00154FC6" w:rsidP="00154FC6">
      <w:pPr>
        <w:numPr>
          <w:ilvl w:val="0"/>
          <w:numId w:val="5"/>
        </w:numPr>
        <w:spacing w:after="0" w:line="276" w:lineRule="auto"/>
        <w:jc w:val="both"/>
      </w:pPr>
      <w:r w:rsidRPr="00DD2B8C">
        <w:t>Rechercher une obésité secondaire</w:t>
      </w:r>
    </w:p>
    <w:p w:rsidR="00154FC6" w:rsidRPr="00DD2B8C" w:rsidRDefault="00154FC6" w:rsidP="00154FC6">
      <w:pPr>
        <w:numPr>
          <w:ilvl w:val="0"/>
          <w:numId w:val="5"/>
        </w:numPr>
        <w:spacing w:after="0" w:line="276" w:lineRule="auto"/>
        <w:jc w:val="both"/>
      </w:pPr>
      <w:r w:rsidRPr="00DD2B8C">
        <w:t>Diagnostiquer les retentissements médicaux, psychologiques et socio-familiaux</w:t>
      </w:r>
    </w:p>
    <w:p w:rsidR="00154FC6" w:rsidRPr="00DD2B8C" w:rsidRDefault="00154FC6" w:rsidP="00154FC6">
      <w:pPr>
        <w:numPr>
          <w:ilvl w:val="0"/>
          <w:numId w:val="5"/>
        </w:numPr>
        <w:spacing w:after="200" w:line="276" w:lineRule="auto"/>
        <w:jc w:val="both"/>
      </w:pPr>
      <w:r w:rsidRPr="00DD2B8C">
        <w:t>Établir un diagnostic éducatif/bilan partagé initial</w:t>
      </w:r>
    </w:p>
    <w:p w:rsidR="00154FC6" w:rsidRPr="00DD2B8C" w:rsidRDefault="00154FC6" w:rsidP="00154FC6">
      <w:pPr>
        <w:pStyle w:val="Titre4"/>
        <w:spacing w:after="0"/>
      </w:pPr>
      <w:r w:rsidRPr="00DD2B8C">
        <w:t>3 - Organiser une stratégie de prise en charge pour un enfant/adolescent en surpoids</w:t>
      </w:r>
    </w:p>
    <w:p w:rsidR="00154FC6" w:rsidRPr="00DD2B8C" w:rsidRDefault="00154FC6" w:rsidP="00154FC6">
      <w:pPr>
        <w:numPr>
          <w:ilvl w:val="0"/>
          <w:numId w:val="5"/>
        </w:numPr>
        <w:spacing w:after="0" w:line="276" w:lineRule="auto"/>
        <w:jc w:val="both"/>
      </w:pPr>
      <w:r w:rsidRPr="00DD2B8C">
        <w:t>Connaître les grands principes, les approches et les moyens thérapeutiques recommandés concernant l’alimentation, l’activité physique et le mode de vie y compris le sommeil</w:t>
      </w:r>
    </w:p>
    <w:p w:rsidR="00154FC6" w:rsidRDefault="00154FC6" w:rsidP="00154FC6">
      <w:pPr>
        <w:numPr>
          <w:ilvl w:val="0"/>
          <w:numId w:val="5"/>
        </w:numPr>
        <w:spacing w:after="0" w:line="276" w:lineRule="auto"/>
        <w:jc w:val="both"/>
      </w:pPr>
      <w:r>
        <w:t>Travailler la motivation intrinsèque de l’enfant et de sa famille et positionner la famille en aidant de l’enfant en excès de poids, dans la mise en place de son processus de changement</w:t>
      </w:r>
    </w:p>
    <w:p w:rsidR="00154FC6" w:rsidRPr="00DD2B8C" w:rsidRDefault="00154FC6" w:rsidP="00154FC6">
      <w:pPr>
        <w:numPr>
          <w:ilvl w:val="0"/>
          <w:numId w:val="5"/>
        </w:numPr>
        <w:spacing w:after="0" w:line="276" w:lineRule="auto"/>
        <w:jc w:val="both"/>
      </w:pPr>
      <w:r w:rsidRPr="00DD2B8C">
        <w:t xml:space="preserve">Mettre en place un suivi et réévaluer régulièrement avec l’enfant/adolescent et sa famille les changements mis en place </w:t>
      </w:r>
    </w:p>
    <w:p w:rsidR="00154FC6" w:rsidRPr="00DD2B8C" w:rsidRDefault="00154FC6" w:rsidP="00154FC6">
      <w:pPr>
        <w:numPr>
          <w:ilvl w:val="0"/>
          <w:numId w:val="5"/>
        </w:numPr>
        <w:spacing w:after="200" w:line="276" w:lineRule="auto"/>
        <w:jc w:val="both"/>
      </w:pPr>
      <w:r w:rsidRPr="00DD2B8C">
        <w:t>Orienter à bon escient l’enfant/adolescent et sa famille vers des professionnels spécifiques</w:t>
      </w:r>
    </w:p>
    <w:p w:rsidR="00154FC6" w:rsidRPr="00DD2B8C" w:rsidRDefault="00154FC6" w:rsidP="00154FC6">
      <w:pPr>
        <w:pStyle w:val="Titre4"/>
        <w:spacing w:after="0"/>
      </w:pPr>
      <w:r w:rsidRPr="00DD2B8C">
        <w:t>4 - Assurer la coordination des divers intervenants selon les ressources locales</w:t>
      </w:r>
    </w:p>
    <w:p w:rsidR="00154FC6" w:rsidRPr="00DD2B8C" w:rsidRDefault="00154FC6" w:rsidP="00154FC6">
      <w:pPr>
        <w:numPr>
          <w:ilvl w:val="0"/>
          <w:numId w:val="5"/>
        </w:numPr>
        <w:spacing w:after="0" w:line="276" w:lineRule="auto"/>
        <w:jc w:val="both"/>
      </w:pPr>
      <w:r w:rsidRPr="00DD2B8C">
        <w:t>Identifier les divers intervenants (cf. niveaux de recours de l’HAS)</w:t>
      </w:r>
    </w:p>
    <w:p w:rsidR="00154FC6" w:rsidRPr="00DD2B8C" w:rsidRDefault="00154FC6" w:rsidP="00154FC6">
      <w:pPr>
        <w:numPr>
          <w:ilvl w:val="0"/>
          <w:numId w:val="5"/>
        </w:numPr>
        <w:spacing w:after="200" w:line="276" w:lineRule="auto"/>
        <w:jc w:val="both"/>
      </w:pPr>
      <w:r w:rsidRPr="00DD2B8C">
        <w:t xml:space="preserve">Utiliser les ressources du Centre Spécialisé Obésité (CSO) </w:t>
      </w:r>
    </w:p>
    <w:p w:rsidR="00154FC6" w:rsidRDefault="00154FC6" w:rsidP="00154FC6">
      <w:pPr>
        <w:pStyle w:val="Titre3"/>
        <w:rPr>
          <w:lang w:eastAsia="fr-FR"/>
        </w:rPr>
      </w:pPr>
      <w:r>
        <w:rPr>
          <w:lang w:eastAsia="fr-FR"/>
        </w:rPr>
        <w:lastRenderedPageBreak/>
        <w:t>ORGANISATION PÉDAGOGIQUE GENERALE</w:t>
      </w:r>
    </w:p>
    <w:p w:rsidR="00154FC6" w:rsidRDefault="00154FC6" w:rsidP="00154FC6">
      <w:pPr>
        <w:pStyle w:val="Titre4"/>
        <w:spacing w:before="0"/>
        <w:rPr>
          <w:lang w:eastAsia="fr-FR"/>
        </w:rPr>
      </w:pPr>
      <w:r>
        <w:rPr>
          <w:lang w:eastAsia="fr-FR"/>
        </w:rPr>
        <w:t xml:space="preserve">2 temps sont prévus : </w:t>
      </w:r>
    </w:p>
    <w:p w:rsidR="00154FC6" w:rsidRDefault="00154FC6" w:rsidP="00154FC6">
      <w:pPr>
        <w:numPr>
          <w:ilvl w:val="0"/>
          <w:numId w:val="5"/>
        </w:numPr>
        <w:spacing w:after="0" w:line="276" w:lineRule="auto"/>
        <w:jc w:val="both"/>
        <w:rPr>
          <w:lang w:eastAsia="fr-FR"/>
        </w:rPr>
      </w:pPr>
      <w:r>
        <w:rPr>
          <w:lang w:eastAsia="fr-FR"/>
        </w:rPr>
        <w:t xml:space="preserve">Un temps de </w:t>
      </w:r>
      <w:r w:rsidR="00CC720D">
        <w:rPr>
          <w:lang w:eastAsia="fr-FR"/>
        </w:rPr>
        <w:t xml:space="preserve">sensibilisation </w:t>
      </w:r>
      <w:r>
        <w:rPr>
          <w:lang w:eastAsia="fr-FR"/>
        </w:rPr>
        <w:t>présentielle d’une journée</w:t>
      </w:r>
    </w:p>
    <w:p w:rsidR="00154FC6" w:rsidRDefault="00154FC6" w:rsidP="00154FC6">
      <w:pPr>
        <w:numPr>
          <w:ilvl w:val="0"/>
          <w:numId w:val="5"/>
        </w:numPr>
        <w:spacing w:after="200" w:line="276" w:lineRule="auto"/>
        <w:jc w:val="both"/>
        <w:rPr>
          <w:lang w:eastAsia="fr-FR"/>
        </w:rPr>
      </w:pPr>
      <w:r>
        <w:rPr>
          <w:lang w:eastAsia="fr-FR"/>
        </w:rPr>
        <w:t xml:space="preserve">Un temps d’auto-évaluation de pratique avant et après </w:t>
      </w:r>
      <w:r w:rsidR="00CC720D">
        <w:rPr>
          <w:lang w:eastAsia="fr-FR"/>
        </w:rPr>
        <w:t xml:space="preserve">la journée de </w:t>
      </w:r>
      <w:proofErr w:type="spellStart"/>
      <w:r w:rsidR="00CC720D">
        <w:rPr>
          <w:lang w:eastAsia="fr-FR"/>
        </w:rPr>
        <w:t>sensbilisation</w:t>
      </w:r>
      <w:proofErr w:type="spellEnd"/>
    </w:p>
    <w:p w:rsidR="00154FC6" w:rsidRDefault="00154FC6" w:rsidP="00154FC6">
      <w:pPr>
        <w:pStyle w:val="Titre4"/>
        <w:rPr>
          <w:lang w:eastAsia="fr-FR"/>
        </w:rPr>
      </w:pPr>
      <w:r>
        <w:rPr>
          <w:lang w:eastAsia="fr-FR"/>
        </w:rPr>
        <w:t xml:space="preserve">Pour la </w:t>
      </w:r>
      <w:r w:rsidR="00CC720D">
        <w:rPr>
          <w:lang w:eastAsia="fr-FR"/>
        </w:rPr>
        <w:t>journée de sensibilisation en présentiel</w:t>
      </w:r>
      <w:r>
        <w:rPr>
          <w:lang w:eastAsia="fr-FR"/>
        </w:rPr>
        <w:t xml:space="preserve"> :</w:t>
      </w:r>
    </w:p>
    <w:p w:rsidR="00154FC6" w:rsidRDefault="00154FC6" w:rsidP="00154FC6">
      <w:pPr>
        <w:rPr>
          <w:lang w:eastAsia="fr-FR"/>
        </w:rPr>
      </w:pPr>
      <w:r>
        <w:rPr>
          <w:lang w:eastAsia="fr-FR"/>
        </w:rPr>
        <w:t xml:space="preserve">Une réflexion est demandée à chaque participant selon la trame suivante : Quelles ressources ai-je identifiées dans ma pratique ? Quels obstacles ? Quels sont les éléments que je viens acquérir et que je souhaite travailler ? La </w:t>
      </w:r>
      <w:r w:rsidR="00CC720D">
        <w:rPr>
          <w:lang w:eastAsia="fr-FR"/>
        </w:rPr>
        <w:t>journée de sensibilisation en présentiel</w:t>
      </w:r>
      <w:r>
        <w:rPr>
          <w:lang w:eastAsia="fr-FR"/>
        </w:rPr>
        <w:t xml:space="preserve"> alternera travail en ateliers et synthèses en plénières pour atteindre les objectifs annoncés.</w:t>
      </w:r>
    </w:p>
    <w:p w:rsidR="00154FC6" w:rsidRDefault="00154FC6" w:rsidP="00154FC6">
      <w:pPr>
        <w:pStyle w:val="Titre3"/>
        <w:rPr>
          <w:lang w:eastAsia="fr-FR"/>
        </w:rPr>
      </w:pPr>
      <w:r>
        <w:rPr>
          <w:lang w:eastAsia="fr-FR"/>
        </w:rPr>
        <w:t>METHODES UTILISEES :</w:t>
      </w:r>
    </w:p>
    <w:p w:rsidR="00154FC6" w:rsidRDefault="00154FC6" w:rsidP="00154FC6">
      <w:pPr>
        <w:numPr>
          <w:ilvl w:val="0"/>
          <w:numId w:val="5"/>
        </w:numPr>
        <w:spacing w:after="0" w:line="276" w:lineRule="auto"/>
        <w:jc w:val="both"/>
        <w:rPr>
          <w:lang w:eastAsia="fr-FR"/>
        </w:rPr>
      </w:pPr>
      <w:r>
        <w:rPr>
          <w:lang w:eastAsia="fr-FR"/>
        </w:rPr>
        <w:t>Acquisition et approfondissement des connaissances ou compétences à la suite d’une analyse des pratiques cliniques, pratiques réflexives sur situations réelles</w:t>
      </w:r>
    </w:p>
    <w:p w:rsidR="00154FC6" w:rsidRDefault="00154FC6" w:rsidP="00154FC6">
      <w:pPr>
        <w:numPr>
          <w:ilvl w:val="0"/>
          <w:numId w:val="5"/>
        </w:numPr>
        <w:spacing w:after="200" w:line="276" w:lineRule="auto"/>
        <w:jc w:val="both"/>
        <w:rPr>
          <w:lang w:eastAsia="fr-FR"/>
        </w:rPr>
      </w:pPr>
      <w:r>
        <w:rPr>
          <w:lang w:eastAsia="fr-FR"/>
        </w:rPr>
        <w:t>Formation cognitive</w:t>
      </w:r>
    </w:p>
    <w:p w:rsidR="00154FC6" w:rsidRDefault="00154FC6" w:rsidP="00154FC6">
      <w:pPr>
        <w:pStyle w:val="Titre3"/>
        <w:rPr>
          <w:lang w:eastAsia="fr-FR"/>
        </w:rPr>
      </w:pPr>
      <w:r>
        <w:rPr>
          <w:lang w:eastAsia="fr-FR"/>
        </w:rPr>
        <w:t>MESSAGES SCIENTIFIQUES</w:t>
      </w:r>
    </w:p>
    <w:p w:rsidR="00154FC6" w:rsidRDefault="00154FC6" w:rsidP="00154FC6">
      <w:pPr>
        <w:pStyle w:val="Titre4"/>
        <w:spacing w:before="0"/>
        <w:rPr>
          <w:lang w:eastAsia="fr-FR"/>
        </w:rPr>
      </w:pPr>
      <w:r>
        <w:rPr>
          <w:lang w:eastAsia="fr-FR"/>
        </w:rPr>
        <w:t xml:space="preserve">Séquence 1 : </w:t>
      </w:r>
      <w:r w:rsidRPr="00320E00">
        <w:rPr>
          <w:lang w:eastAsia="fr-FR"/>
        </w:rPr>
        <w:t>Expression des attentes et des besoins des participants - Le dépistage et l’annonce du surpoids</w:t>
      </w:r>
    </w:p>
    <w:p w:rsidR="00154FC6" w:rsidRDefault="00154FC6" w:rsidP="00154FC6">
      <w:pPr>
        <w:numPr>
          <w:ilvl w:val="0"/>
          <w:numId w:val="5"/>
        </w:numPr>
        <w:spacing w:after="0" w:line="276" w:lineRule="auto"/>
        <w:jc w:val="both"/>
        <w:rPr>
          <w:lang w:eastAsia="fr-FR"/>
        </w:rPr>
      </w:pPr>
      <w:r>
        <w:rPr>
          <w:lang w:eastAsia="fr-FR"/>
        </w:rPr>
        <w:t xml:space="preserve">Il est recommandé de surveiller l’IMC des enfants et adolescents 2 à 3 fois par an quelle que soit leur corpulence apparente et de tracer régulièrement les courbes de corpulence. </w:t>
      </w:r>
    </w:p>
    <w:p w:rsidR="00154FC6" w:rsidRDefault="00154FC6" w:rsidP="00154FC6">
      <w:pPr>
        <w:numPr>
          <w:ilvl w:val="0"/>
          <w:numId w:val="5"/>
        </w:numPr>
        <w:spacing w:after="0" w:line="276" w:lineRule="auto"/>
        <w:jc w:val="both"/>
        <w:rPr>
          <w:lang w:eastAsia="fr-FR"/>
        </w:rPr>
      </w:pPr>
      <w:r>
        <w:rPr>
          <w:lang w:eastAsia="fr-FR"/>
        </w:rPr>
        <w:t>Les signes d’alerte à repérer sont : le rebond d’adiposité précoce, l’ascension continue de la courbe IMC depuis la naissance, le changement rapide de couloir de la courbe IMC vers le haut, le rapport TT/T &gt; à 0,5.</w:t>
      </w:r>
    </w:p>
    <w:p w:rsidR="00154FC6" w:rsidRDefault="00154FC6" w:rsidP="00154FC6">
      <w:pPr>
        <w:numPr>
          <w:ilvl w:val="0"/>
          <w:numId w:val="5"/>
        </w:numPr>
        <w:spacing w:after="200" w:line="276" w:lineRule="auto"/>
        <w:jc w:val="both"/>
        <w:rPr>
          <w:lang w:eastAsia="fr-FR"/>
        </w:rPr>
      </w:pPr>
      <w:r>
        <w:rPr>
          <w:lang w:eastAsia="fr-FR"/>
        </w:rPr>
        <w:t>Parmi les facteurs associés au risque de surpoids dans l’enfance, ceux correspondant aux facteurs précoces sont importants à connaître pour agir en prévention primaire.</w:t>
      </w:r>
    </w:p>
    <w:p w:rsidR="00154FC6" w:rsidRDefault="00154FC6" w:rsidP="00154FC6">
      <w:pPr>
        <w:pStyle w:val="Titre4"/>
        <w:rPr>
          <w:lang w:eastAsia="fr-FR"/>
        </w:rPr>
      </w:pPr>
      <w:r>
        <w:rPr>
          <w:lang w:eastAsia="fr-FR"/>
        </w:rPr>
        <w:t xml:space="preserve">Séquence 2 </w:t>
      </w:r>
      <w:r w:rsidRPr="00320E00">
        <w:rPr>
          <w:lang w:eastAsia="fr-FR"/>
        </w:rPr>
        <w:t>: L’évaluation initiale et l’amorce de la prise en charge</w:t>
      </w:r>
    </w:p>
    <w:p w:rsidR="00154FC6" w:rsidRDefault="00154FC6" w:rsidP="00154FC6">
      <w:pPr>
        <w:numPr>
          <w:ilvl w:val="0"/>
          <w:numId w:val="5"/>
        </w:numPr>
        <w:spacing w:after="0" w:line="276" w:lineRule="auto"/>
        <w:jc w:val="both"/>
        <w:rPr>
          <w:lang w:eastAsia="fr-FR"/>
        </w:rPr>
      </w:pPr>
      <w:r>
        <w:rPr>
          <w:lang w:eastAsia="fr-FR"/>
        </w:rPr>
        <w:t xml:space="preserve">Chez un enfant en surpoids sans obésité, sans signe clinique évocateur d’une comorbidité, ni antécédent familial de diabète ou de dyslipidémie, il n’y a pas lieu de faire des examens complémentaires. </w:t>
      </w:r>
    </w:p>
    <w:p w:rsidR="00154FC6" w:rsidRDefault="00154FC6" w:rsidP="00154FC6">
      <w:pPr>
        <w:numPr>
          <w:ilvl w:val="0"/>
          <w:numId w:val="5"/>
        </w:numPr>
        <w:spacing w:after="0" w:line="276" w:lineRule="auto"/>
        <w:jc w:val="both"/>
        <w:rPr>
          <w:lang w:eastAsia="fr-FR"/>
        </w:rPr>
      </w:pPr>
      <w:r>
        <w:rPr>
          <w:lang w:eastAsia="fr-FR"/>
        </w:rPr>
        <w:t>Un dépistage et une prise en charge précoce peuvent permettre de limiter l'apparition des complications chez l’enfant et la progression de la prévalence de l’obésité chez l’enfant puis chez l’adulte, 60 à 80% des adolescents obèses non pris en charge le restant à l’âge adulte.</w:t>
      </w:r>
    </w:p>
    <w:p w:rsidR="00154FC6" w:rsidRDefault="00154FC6" w:rsidP="00154FC6">
      <w:pPr>
        <w:numPr>
          <w:ilvl w:val="0"/>
          <w:numId w:val="5"/>
        </w:numPr>
        <w:spacing w:after="0" w:line="276" w:lineRule="auto"/>
        <w:jc w:val="both"/>
        <w:rPr>
          <w:lang w:eastAsia="fr-FR"/>
        </w:rPr>
      </w:pPr>
      <w:r>
        <w:rPr>
          <w:lang w:eastAsia="fr-FR"/>
        </w:rPr>
        <w:t>La perte de poids n’est pas un objectif prioritaire chez l’enfant et l’adolescent en surpoids ou obèse, l’objectif est de ralentir la progression de la courbe de corpulence.</w:t>
      </w:r>
    </w:p>
    <w:p w:rsidR="00154FC6" w:rsidRDefault="00154FC6" w:rsidP="00154FC6">
      <w:pPr>
        <w:numPr>
          <w:ilvl w:val="0"/>
          <w:numId w:val="5"/>
        </w:numPr>
        <w:spacing w:after="200" w:line="276" w:lineRule="auto"/>
        <w:jc w:val="both"/>
        <w:rPr>
          <w:lang w:eastAsia="fr-FR"/>
        </w:rPr>
      </w:pPr>
      <w:r>
        <w:rPr>
          <w:lang w:eastAsia="fr-FR"/>
        </w:rPr>
        <w:t>Une activité physique adaptée et ludique doit être discutée avec l’enfant (prise en compte de ses difficultés, de ses envies et de sa motivation).</w:t>
      </w:r>
    </w:p>
    <w:p w:rsidR="00154FC6" w:rsidRDefault="00154FC6" w:rsidP="00154FC6">
      <w:pPr>
        <w:pStyle w:val="Titre4"/>
        <w:rPr>
          <w:lang w:eastAsia="fr-FR"/>
        </w:rPr>
      </w:pPr>
      <w:r>
        <w:rPr>
          <w:lang w:eastAsia="fr-FR"/>
        </w:rPr>
        <w:t xml:space="preserve">Séquence 3 : </w:t>
      </w:r>
      <w:r w:rsidRPr="00320E00">
        <w:rPr>
          <w:lang w:eastAsia="fr-FR"/>
        </w:rPr>
        <w:t>La stratégie de prise en charge</w:t>
      </w:r>
    </w:p>
    <w:p w:rsidR="00154FC6" w:rsidRDefault="00154FC6" w:rsidP="00154FC6">
      <w:pPr>
        <w:numPr>
          <w:ilvl w:val="0"/>
          <w:numId w:val="5"/>
        </w:numPr>
        <w:spacing w:after="0" w:line="276" w:lineRule="auto"/>
        <w:jc w:val="both"/>
        <w:rPr>
          <w:lang w:eastAsia="fr-FR"/>
        </w:rPr>
      </w:pPr>
      <w:r>
        <w:rPr>
          <w:lang w:eastAsia="fr-FR"/>
        </w:rPr>
        <w:t>Il est important d’apprécier, avec l’enfant selon son âge, quelles sont les personnes ressources et de savoir les solliciter pour l’accompagnement.</w:t>
      </w:r>
    </w:p>
    <w:p w:rsidR="00154FC6" w:rsidRDefault="00154FC6" w:rsidP="00154FC6">
      <w:pPr>
        <w:numPr>
          <w:ilvl w:val="0"/>
          <w:numId w:val="5"/>
        </w:numPr>
        <w:spacing w:after="0" w:line="276" w:lineRule="auto"/>
        <w:jc w:val="both"/>
        <w:rPr>
          <w:lang w:eastAsia="fr-FR"/>
        </w:rPr>
      </w:pPr>
      <w:r>
        <w:rPr>
          <w:lang w:eastAsia="fr-FR"/>
        </w:rPr>
        <w:t>L’éducation thérapeutique du patient fait partie intégrante de la prise en charge.</w:t>
      </w:r>
    </w:p>
    <w:p w:rsidR="00154FC6" w:rsidRDefault="00154FC6" w:rsidP="00154FC6">
      <w:pPr>
        <w:numPr>
          <w:ilvl w:val="0"/>
          <w:numId w:val="5"/>
        </w:numPr>
        <w:spacing w:after="0" w:line="276" w:lineRule="auto"/>
        <w:jc w:val="both"/>
        <w:rPr>
          <w:lang w:eastAsia="fr-FR"/>
        </w:rPr>
      </w:pPr>
      <w:r>
        <w:rPr>
          <w:lang w:eastAsia="fr-FR"/>
        </w:rPr>
        <w:t>Il est important de ne pas banaliser la souffrance que peut ressentir un enfant en surpoids.</w:t>
      </w:r>
    </w:p>
    <w:p w:rsidR="00154FC6" w:rsidRDefault="00154FC6" w:rsidP="00154FC6">
      <w:pPr>
        <w:numPr>
          <w:ilvl w:val="0"/>
          <w:numId w:val="5"/>
        </w:numPr>
        <w:spacing w:after="0" w:line="276" w:lineRule="auto"/>
        <w:jc w:val="both"/>
        <w:rPr>
          <w:lang w:eastAsia="fr-FR"/>
        </w:rPr>
      </w:pPr>
      <w:r>
        <w:rPr>
          <w:lang w:eastAsia="fr-FR"/>
        </w:rPr>
        <w:lastRenderedPageBreak/>
        <w:t>Sauf situations exceptionnelles, les traitements médicamenteux et chirurgicaux ne sont pas indiqués chez l’enfant et l’adolescent.</w:t>
      </w:r>
    </w:p>
    <w:p w:rsidR="00154FC6" w:rsidRDefault="00154FC6" w:rsidP="00154FC6">
      <w:pPr>
        <w:numPr>
          <w:ilvl w:val="0"/>
          <w:numId w:val="5"/>
        </w:numPr>
        <w:spacing w:after="200" w:line="276" w:lineRule="auto"/>
        <w:jc w:val="both"/>
        <w:rPr>
          <w:lang w:eastAsia="fr-FR"/>
        </w:rPr>
      </w:pPr>
      <w:r>
        <w:rPr>
          <w:lang w:eastAsia="fr-FR"/>
        </w:rPr>
        <w:t>Les régimes à visée amaigrissante sont déconseillés et aucun aliment ne doit être interdit.</w:t>
      </w:r>
    </w:p>
    <w:p w:rsidR="00154FC6" w:rsidRDefault="00154FC6" w:rsidP="00154FC6">
      <w:pPr>
        <w:pStyle w:val="Titre4"/>
        <w:rPr>
          <w:lang w:eastAsia="fr-FR"/>
        </w:rPr>
      </w:pPr>
      <w:r>
        <w:rPr>
          <w:lang w:eastAsia="fr-FR"/>
        </w:rPr>
        <w:t xml:space="preserve">Séquence 4 </w:t>
      </w:r>
      <w:r w:rsidRPr="00320E00">
        <w:t>La coordination au sein du parcours de soin</w:t>
      </w:r>
    </w:p>
    <w:p w:rsidR="00154FC6" w:rsidRDefault="00154FC6" w:rsidP="00154FC6">
      <w:pPr>
        <w:numPr>
          <w:ilvl w:val="0"/>
          <w:numId w:val="5"/>
        </w:numPr>
        <w:spacing w:after="0" w:line="276" w:lineRule="auto"/>
        <w:jc w:val="both"/>
        <w:rPr>
          <w:lang w:eastAsia="fr-FR"/>
        </w:rPr>
      </w:pPr>
      <w:r>
        <w:rPr>
          <w:lang w:eastAsia="fr-FR"/>
        </w:rPr>
        <w:t xml:space="preserve">Un suivi régulier et prolongé d’au minimum 2 ans </w:t>
      </w:r>
      <w:proofErr w:type="gramStart"/>
      <w:r>
        <w:rPr>
          <w:lang w:eastAsia="fr-FR"/>
        </w:rPr>
        <w:t>doit</w:t>
      </w:r>
      <w:proofErr w:type="gramEnd"/>
      <w:r>
        <w:rPr>
          <w:lang w:eastAsia="fr-FR"/>
        </w:rPr>
        <w:t xml:space="preserve"> être programmé.</w:t>
      </w:r>
    </w:p>
    <w:p w:rsidR="00154FC6" w:rsidRDefault="00154FC6" w:rsidP="00154FC6">
      <w:pPr>
        <w:numPr>
          <w:ilvl w:val="0"/>
          <w:numId w:val="5"/>
        </w:numPr>
        <w:spacing w:after="0" w:line="276" w:lineRule="auto"/>
        <w:jc w:val="both"/>
        <w:rPr>
          <w:lang w:eastAsia="fr-FR"/>
        </w:rPr>
      </w:pPr>
      <w:r>
        <w:rPr>
          <w:lang w:eastAsia="fr-FR"/>
        </w:rPr>
        <w:t>Un suivi multidisciplinaire, lorsqu’il est possible, est recommandé : chaque professionnel impliqué doit alors se mettre en lien avec le médecin coordinateur et les autres professionnels.</w:t>
      </w:r>
    </w:p>
    <w:p w:rsidR="00154FC6" w:rsidRDefault="00154FC6" w:rsidP="00154FC6">
      <w:pPr>
        <w:numPr>
          <w:ilvl w:val="0"/>
          <w:numId w:val="5"/>
        </w:numPr>
        <w:spacing w:after="200" w:line="276" w:lineRule="auto"/>
        <w:jc w:val="both"/>
        <w:rPr>
          <w:lang w:eastAsia="fr-FR"/>
        </w:rPr>
      </w:pPr>
      <w:r>
        <w:rPr>
          <w:lang w:eastAsia="fr-FR"/>
        </w:rPr>
        <w:t>La coordination est essentielle dans la réussite de la prise en charge. Cette coordination est assurée en premier lieu par le médecin pédiatre ou généraliste.</w:t>
      </w:r>
    </w:p>
    <w:p w:rsidR="00154FC6" w:rsidRDefault="00154FC6" w:rsidP="00154FC6">
      <w:pPr>
        <w:pStyle w:val="Titre3"/>
        <w:rPr>
          <w:lang w:eastAsia="fr-FR"/>
        </w:rPr>
      </w:pPr>
      <w:r>
        <w:rPr>
          <w:lang w:eastAsia="fr-FR"/>
        </w:rPr>
        <w:t>Évaluation des pratiques :</w:t>
      </w:r>
    </w:p>
    <w:p w:rsidR="00154FC6" w:rsidRDefault="00154FC6" w:rsidP="00154FC6">
      <w:pPr>
        <w:rPr>
          <w:lang w:eastAsia="fr-FR"/>
        </w:rPr>
      </w:pPr>
      <w:r>
        <w:rPr>
          <w:lang w:eastAsia="fr-FR"/>
        </w:rPr>
        <w:t xml:space="preserve">À partir de questionnaires transmis par les formateurs, les participants seront incités à prendre un temps de réflexion sur leur pratique avant la </w:t>
      </w:r>
      <w:r w:rsidR="00CC720D">
        <w:rPr>
          <w:lang w:eastAsia="fr-FR"/>
        </w:rPr>
        <w:t>journée</w:t>
      </w:r>
      <w:r>
        <w:rPr>
          <w:lang w:eastAsia="fr-FR"/>
        </w:rPr>
        <w:t>. Cette réflexion alimentera le premier atelier. Ils pourront faire une auto-éval</w:t>
      </w:r>
      <w:r w:rsidR="00CC720D">
        <w:rPr>
          <w:lang w:eastAsia="fr-FR"/>
        </w:rPr>
        <w:t>uation de leur pratique à postériori de la journée</w:t>
      </w:r>
      <w:r>
        <w:rPr>
          <w:lang w:eastAsia="fr-FR"/>
        </w:rPr>
        <w:t xml:space="preserve">. Les médecins pourront utiliser la grille de critères de qualité élaborée par </w:t>
      </w:r>
      <w:proofErr w:type="gramStart"/>
      <w:r>
        <w:rPr>
          <w:lang w:eastAsia="fr-FR"/>
        </w:rPr>
        <w:t>la HAS</w:t>
      </w:r>
      <w:proofErr w:type="gramEnd"/>
      <w:r>
        <w:rPr>
          <w:lang w:eastAsia="fr-FR"/>
        </w:rPr>
        <w:t xml:space="preserve"> concernant le repérage du surpoids et/ou celui concernant le suivi selon la méthode de l’audit ciblé à partir de 5 dossiers de leur patientèle.</w:t>
      </w:r>
    </w:p>
    <w:p w:rsidR="00154FC6" w:rsidRPr="008800BC" w:rsidRDefault="00154FC6" w:rsidP="00154FC6">
      <w:pPr>
        <w:pStyle w:val="Titre3"/>
      </w:pPr>
      <w:r w:rsidRPr="008800BC">
        <w:t>ACCESSIBILITE</w:t>
      </w:r>
    </w:p>
    <w:p w:rsidR="00154FC6" w:rsidRDefault="00154FC6" w:rsidP="00154FC6">
      <w:r w:rsidRPr="008800BC">
        <w:rPr>
          <w:lang w:eastAsia="fr-FR"/>
        </w:rPr>
        <w:t xml:space="preserve">Le </w:t>
      </w:r>
      <w:r>
        <w:rPr>
          <w:lang w:eastAsia="fr-FR"/>
        </w:rPr>
        <w:t>CSO-CALORIS</w:t>
      </w:r>
      <w:r w:rsidRPr="008800BC">
        <w:rPr>
          <w:lang w:eastAsia="fr-FR"/>
        </w:rPr>
        <w:t xml:space="preserve"> adapte dans la mesure du possible les conditions d’accueil aux personnes en situation de handicap. Si votre situation nécessite un aménagement particulier, merci de vous rapprocher de la coordination</w:t>
      </w:r>
    </w:p>
    <w:p w:rsidR="00154FC6" w:rsidRDefault="00154FC6" w:rsidP="00154FC6">
      <w:pPr>
        <w:pStyle w:val="Titre3"/>
      </w:pPr>
      <w:r w:rsidRPr="00EA42DD">
        <w:t>duréé</w:t>
      </w:r>
    </w:p>
    <w:p w:rsidR="00154FC6" w:rsidRDefault="00CC720D" w:rsidP="00154FC6">
      <w:pPr>
        <w:rPr>
          <w:lang w:eastAsia="fr-FR"/>
        </w:rPr>
      </w:pPr>
      <w:r>
        <w:rPr>
          <w:lang w:eastAsia="fr-FR"/>
        </w:rPr>
        <w:t xml:space="preserve">La journée de </w:t>
      </w:r>
      <w:r w:rsidR="00883066">
        <w:rPr>
          <w:lang w:eastAsia="fr-FR"/>
        </w:rPr>
        <w:t>sensibilisation</w:t>
      </w:r>
      <w:r>
        <w:rPr>
          <w:lang w:eastAsia="fr-FR"/>
        </w:rPr>
        <w:t xml:space="preserve"> à l’annonce diagnostic et motivation au changement a une durée totale de 7h.</w:t>
      </w:r>
    </w:p>
    <w:p w:rsidR="00154FC6" w:rsidRPr="00E974B4" w:rsidRDefault="00154FC6" w:rsidP="00154FC6">
      <w:pPr>
        <w:spacing w:after="0"/>
      </w:pPr>
      <w:r w:rsidRPr="00E974B4">
        <w:t xml:space="preserve">Chaque journée </w:t>
      </w:r>
      <w:r>
        <w:t>en présentiel</w:t>
      </w:r>
      <w:r w:rsidRPr="00E974B4">
        <w:t xml:space="preserve"> est organisée selon les horaires suivants :</w:t>
      </w:r>
    </w:p>
    <w:p w:rsidR="00154FC6" w:rsidRPr="00105A4E" w:rsidRDefault="00154FC6" w:rsidP="00154FC6">
      <w:pPr>
        <w:numPr>
          <w:ilvl w:val="0"/>
          <w:numId w:val="4"/>
        </w:numPr>
        <w:spacing w:after="0" w:line="276" w:lineRule="auto"/>
        <w:jc w:val="both"/>
      </w:pPr>
      <w:r w:rsidRPr="00105A4E">
        <w:t>9h à 12h30</w:t>
      </w:r>
    </w:p>
    <w:p w:rsidR="00154FC6" w:rsidRDefault="00154FC6" w:rsidP="00154FC6">
      <w:pPr>
        <w:numPr>
          <w:ilvl w:val="0"/>
          <w:numId w:val="4"/>
        </w:numPr>
        <w:spacing w:after="0" w:line="276" w:lineRule="auto"/>
        <w:jc w:val="both"/>
      </w:pPr>
      <w:r>
        <w:t>13</w:t>
      </w:r>
      <w:r w:rsidRPr="00105A4E">
        <w:t>h</w:t>
      </w:r>
      <w:r>
        <w:t>30 à 17h00</w:t>
      </w:r>
    </w:p>
    <w:p w:rsidR="00154FC6" w:rsidRPr="003C6D6D" w:rsidRDefault="00154FC6" w:rsidP="00154FC6">
      <w:pPr>
        <w:pStyle w:val="Titre3"/>
      </w:pPr>
      <w:r w:rsidRPr="003C6D6D">
        <w:t>délai d’accès</w:t>
      </w:r>
    </w:p>
    <w:p w:rsidR="00154FC6" w:rsidRPr="00105A4E" w:rsidRDefault="00154FC6" w:rsidP="00154FC6">
      <w:r>
        <w:t>1</w:t>
      </w:r>
      <w:r w:rsidRPr="00105A4E">
        <w:t xml:space="preserve"> form</w:t>
      </w:r>
      <w:r>
        <w:t>ation est proposée par an.</w:t>
      </w:r>
    </w:p>
    <w:p w:rsidR="00154FC6" w:rsidRPr="003C6D6D" w:rsidRDefault="00154FC6" w:rsidP="00154FC6">
      <w:pPr>
        <w:pStyle w:val="Titre3"/>
      </w:pPr>
      <w:r w:rsidRPr="003C6D6D">
        <w:t>tarif</w:t>
      </w:r>
    </w:p>
    <w:p w:rsidR="00154FC6" w:rsidRPr="00105A4E" w:rsidRDefault="00883066" w:rsidP="00154FC6">
      <w:pPr>
        <w:spacing w:after="0"/>
        <w:rPr>
          <w:lang w:eastAsia="fr-FR"/>
        </w:rPr>
      </w:pPr>
      <w:r>
        <w:rPr>
          <w:lang w:eastAsia="fr-FR"/>
        </w:rPr>
        <w:t>Gratuité</w:t>
      </w:r>
      <w:r w:rsidR="00154FC6">
        <w:rPr>
          <w:lang w:eastAsia="fr-FR"/>
        </w:rPr>
        <w:t>.</w:t>
      </w: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CC720D" w:rsidRDefault="00CC720D" w:rsidP="00154FC6">
      <w:pPr>
        <w:spacing w:after="0"/>
        <w:rPr>
          <w:rFonts w:asciiTheme="majorHAnsi" w:hAnsiTheme="majorHAnsi" w:cstheme="majorHAnsi"/>
          <w:b/>
          <w:color w:val="1F4E79" w:themeColor="accent1" w:themeShade="80"/>
          <w:sz w:val="24"/>
          <w:u w:val="single"/>
        </w:rPr>
      </w:pPr>
    </w:p>
    <w:p w:rsidR="00CC720D" w:rsidRDefault="00CC720D"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rPr>
          <w:lang w:eastAsia="fr-FR"/>
        </w:rPr>
      </w:pPr>
      <w:r w:rsidRPr="005D4C36">
        <w:rPr>
          <w:rFonts w:ascii="Calibri Light" w:eastAsia="Times New Roman" w:hAnsi="Calibri Light"/>
          <w:b/>
          <w:bCs/>
          <w:caps/>
          <w:color w:val="2F5496"/>
          <w:kern w:val="32"/>
          <w:sz w:val="24"/>
          <w:szCs w:val="32"/>
          <w:u w:val="single"/>
        </w:rPr>
        <w:lastRenderedPageBreak/>
        <w:t xml:space="preserve">PROgramme détaille de la </w:t>
      </w:r>
      <w:r w:rsidR="00CC720D">
        <w:rPr>
          <w:rFonts w:ascii="Calibri Light" w:eastAsia="Times New Roman" w:hAnsi="Calibri Light"/>
          <w:b/>
          <w:bCs/>
          <w:caps/>
          <w:color w:val="2F5496"/>
          <w:kern w:val="32"/>
          <w:sz w:val="24"/>
          <w:szCs w:val="32"/>
          <w:u w:val="single"/>
        </w:rPr>
        <w:t>JOURNEE DE SENSIBILISATION A L’annonce diagnostic/motivation au changement</w:t>
      </w:r>
      <w:r w:rsidRPr="005D4C36">
        <w:rPr>
          <w:rFonts w:ascii="Calibri Light" w:eastAsia="Times New Roman" w:hAnsi="Calibri Light"/>
          <w:b/>
          <w:bCs/>
          <w:caps/>
          <w:color w:val="2F5496"/>
          <w:kern w:val="32"/>
          <w:sz w:val="24"/>
          <w:szCs w:val="32"/>
          <w:u w:val="single"/>
        </w:rPr>
        <w:t xml:space="preserve"> en</w:t>
      </w:r>
      <w:r>
        <w:rPr>
          <w:rFonts w:ascii="Calibri Light" w:eastAsia="Times New Roman" w:hAnsi="Calibri Light"/>
          <w:b/>
          <w:bCs/>
          <w:caps/>
          <w:color w:val="2F5496"/>
          <w:kern w:val="32"/>
          <w:sz w:val="24"/>
          <w:szCs w:val="32"/>
          <w:u w:val="single"/>
        </w:rPr>
        <w:t xml:space="preserve"> presentiel</w:t>
      </w:r>
      <w:r w:rsidR="00CC720D">
        <w:rPr>
          <w:rFonts w:ascii="Calibri Light" w:eastAsia="Times New Roman" w:hAnsi="Calibri Light"/>
          <w:b/>
          <w:bCs/>
          <w:caps/>
          <w:color w:val="2F5496"/>
          <w:kern w:val="32"/>
          <w:sz w:val="24"/>
          <w:szCs w:val="32"/>
          <w:u w:val="single"/>
        </w:rPr>
        <w:t> :</w:t>
      </w: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883066" w:rsidRDefault="00883066" w:rsidP="00883066">
      <w:pPr>
        <w:spacing w:after="0"/>
        <w:rPr>
          <w:rFonts w:asciiTheme="majorHAnsi" w:hAnsiTheme="majorHAnsi" w:cstheme="majorHAnsi"/>
          <w:b/>
          <w:color w:val="1F4E79" w:themeColor="accent1" w:themeShade="80"/>
          <w:sz w:val="24"/>
          <w:u w:val="single"/>
        </w:rPr>
      </w:pPr>
      <w:r w:rsidRPr="00043DCF">
        <w:rPr>
          <w:rFonts w:asciiTheme="majorHAnsi" w:hAnsiTheme="majorHAnsi" w:cstheme="majorHAnsi"/>
          <w:b/>
          <w:color w:val="1F4E79" w:themeColor="accent1" w:themeShade="80"/>
          <w:sz w:val="24"/>
          <w:u w:val="single"/>
        </w:rPr>
        <w:t>M</w:t>
      </w:r>
      <w:r>
        <w:rPr>
          <w:rFonts w:asciiTheme="majorHAnsi" w:hAnsiTheme="majorHAnsi" w:cstheme="majorHAnsi"/>
          <w:b/>
          <w:color w:val="1F4E79" w:themeColor="accent1" w:themeShade="80"/>
          <w:sz w:val="24"/>
          <w:u w:val="single"/>
        </w:rPr>
        <w:t>ATINEE</w:t>
      </w:r>
    </w:p>
    <w:p w:rsidR="00883066" w:rsidRPr="00043DCF" w:rsidRDefault="00883066" w:rsidP="00883066">
      <w:pPr>
        <w:spacing w:after="0"/>
        <w:rPr>
          <w:rFonts w:asciiTheme="majorHAnsi" w:hAnsiTheme="majorHAnsi" w:cstheme="majorHAnsi"/>
          <w:b/>
          <w:color w:val="1F4E79" w:themeColor="accent1" w:themeShade="80"/>
          <w:sz w:val="24"/>
          <w:u w:val="single"/>
        </w:rPr>
      </w:pPr>
    </w:p>
    <w:p w:rsidR="00883066" w:rsidRDefault="00883066" w:rsidP="00883066">
      <w:pPr>
        <w:spacing w:after="0"/>
      </w:pPr>
      <w:r w:rsidRPr="00043DCF">
        <w:rPr>
          <w:b/>
        </w:rPr>
        <w:t>8h45 :</w:t>
      </w:r>
      <w:r>
        <w:t xml:space="preserve"> Accueil des participants/es</w:t>
      </w:r>
    </w:p>
    <w:p w:rsidR="00883066" w:rsidRDefault="00883066" w:rsidP="00883066">
      <w:pPr>
        <w:spacing w:after="0"/>
      </w:pPr>
      <w:r w:rsidRPr="00043DCF">
        <w:rPr>
          <w:b/>
        </w:rPr>
        <w:t>9h00 :</w:t>
      </w:r>
      <w:r>
        <w:t xml:space="preserve"> Début de la formation</w:t>
      </w:r>
    </w:p>
    <w:p w:rsidR="00883066" w:rsidRDefault="00883066" w:rsidP="00883066">
      <w:pPr>
        <w:spacing w:after="0"/>
      </w:pPr>
    </w:p>
    <w:p w:rsidR="00883066" w:rsidRDefault="00883066" w:rsidP="00883066">
      <w:pPr>
        <w:spacing w:after="0"/>
      </w:pPr>
      <w:r>
        <w:t xml:space="preserve">Tour de table – Echanges sur les attentes et les besoins </w:t>
      </w:r>
    </w:p>
    <w:p w:rsidR="00883066" w:rsidRPr="003F2AAB" w:rsidRDefault="00883066" w:rsidP="003F2AAB">
      <w:pPr>
        <w:spacing w:after="0"/>
      </w:pPr>
      <w:r>
        <w:t xml:space="preserve">Annonce diagnostic </w:t>
      </w:r>
      <w:bookmarkStart w:id="1" w:name="_GoBack"/>
      <w:bookmarkEnd w:id="1"/>
    </w:p>
    <w:p w:rsidR="00883066" w:rsidRDefault="00883066" w:rsidP="00883066">
      <w:pPr>
        <w:spacing w:after="0"/>
      </w:pPr>
      <w:r>
        <w:t>Pause rafraichissante</w:t>
      </w:r>
    </w:p>
    <w:p w:rsidR="00883066" w:rsidRDefault="00883066" w:rsidP="00883066">
      <w:pPr>
        <w:spacing w:after="0"/>
      </w:pPr>
      <w:r>
        <w:t>Motivation aux changements</w:t>
      </w:r>
    </w:p>
    <w:p w:rsidR="003F2AAB" w:rsidRDefault="003F2AAB" w:rsidP="00883066">
      <w:pPr>
        <w:spacing w:after="0"/>
      </w:pPr>
    </w:p>
    <w:p w:rsidR="00883066" w:rsidRDefault="00883066" w:rsidP="00883066">
      <w:pPr>
        <w:spacing w:after="0"/>
      </w:pPr>
      <w:r w:rsidRPr="00043DCF">
        <w:rPr>
          <w:b/>
        </w:rPr>
        <w:t>12h30 – 13h30 :</w:t>
      </w:r>
      <w:r>
        <w:t xml:space="preserve"> PAUSE REPAS</w:t>
      </w:r>
    </w:p>
    <w:p w:rsidR="00883066" w:rsidRDefault="00883066" w:rsidP="00883066">
      <w:pPr>
        <w:spacing w:after="0"/>
      </w:pPr>
    </w:p>
    <w:p w:rsidR="00883066" w:rsidRPr="00140300" w:rsidRDefault="00883066" w:rsidP="00883066">
      <w:pPr>
        <w:spacing w:after="0"/>
        <w:rPr>
          <w:rFonts w:asciiTheme="majorHAnsi" w:hAnsiTheme="majorHAnsi" w:cstheme="majorHAnsi"/>
          <w:b/>
          <w:caps/>
          <w:color w:val="1F4E79" w:themeColor="accent1" w:themeShade="80"/>
          <w:sz w:val="24"/>
          <w:u w:val="single"/>
        </w:rPr>
      </w:pPr>
      <w:r>
        <w:rPr>
          <w:rFonts w:asciiTheme="majorHAnsi" w:hAnsiTheme="majorHAnsi" w:cstheme="majorHAnsi"/>
          <w:b/>
          <w:caps/>
          <w:color w:val="1F4E79" w:themeColor="accent1" w:themeShade="80"/>
          <w:sz w:val="24"/>
          <w:u w:val="single"/>
        </w:rPr>
        <w:t xml:space="preserve">Après-midi </w:t>
      </w:r>
    </w:p>
    <w:p w:rsidR="00883066" w:rsidRDefault="00883066" w:rsidP="00883066">
      <w:pPr>
        <w:spacing w:after="0"/>
        <w:rPr>
          <w:b/>
          <w:bCs/>
          <w:u w:val="single"/>
        </w:rPr>
      </w:pPr>
    </w:p>
    <w:p w:rsidR="00883066" w:rsidRPr="003F2AAB" w:rsidRDefault="00883066" w:rsidP="00883066">
      <w:pPr>
        <w:spacing w:after="0"/>
      </w:pPr>
      <w:r>
        <w:t>Initier une prise en charge de l’obésité</w:t>
      </w:r>
    </w:p>
    <w:p w:rsidR="00883066" w:rsidRPr="007E3F74" w:rsidRDefault="00883066" w:rsidP="00883066">
      <w:pPr>
        <w:spacing w:after="0"/>
      </w:pPr>
      <w:r w:rsidRPr="007E3F74">
        <w:t>Parlons peu parlons bien : de la théorie à la pratique</w:t>
      </w:r>
      <w:r>
        <w:t>.</w:t>
      </w:r>
    </w:p>
    <w:p w:rsidR="00883066" w:rsidRDefault="00883066" w:rsidP="00883066">
      <w:pPr>
        <w:spacing w:after="0"/>
      </w:pPr>
      <w:r w:rsidRPr="007E3F74">
        <w:t>Retour d’expérience</w:t>
      </w:r>
      <w:r>
        <w:t>s</w:t>
      </w:r>
      <w:r w:rsidRPr="007E3F74">
        <w:t xml:space="preserve"> et</w:t>
      </w:r>
      <w:r>
        <w:t xml:space="preserve"> perspectives</w:t>
      </w:r>
      <w:r w:rsidRPr="007E3F74">
        <w:t xml:space="preserve"> </w:t>
      </w:r>
    </w:p>
    <w:p w:rsidR="003F2AAB" w:rsidRDefault="003F2AAB" w:rsidP="00883066">
      <w:pPr>
        <w:spacing w:after="0"/>
      </w:pPr>
    </w:p>
    <w:p w:rsidR="00883066" w:rsidRPr="007E3F74" w:rsidRDefault="00883066" w:rsidP="00883066">
      <w:pPr>
        <w:spacing w:after="0"/>
      </w:pPr>
      <w:r w:rsidRPr="00043DCF">
        <w:rPr>
          <w:b/>
        </w:rPr>
        <w:t>17h00 :</w:t>
      </w:r>
      <w:r>
        <w:t xml:space="preserve"> Départ des participants/es et fin de journée</w:t>
      </w:r>
    </w:p>
    <w:p w:rsidR="00154FC6" w:rsidRDefault="00154FC6" w:rsidP="00154FC6">
      <w:pPr>
        <w:pStyle w:val="En-tte"/>
      </w:pPr>
    </w:p>
    <w:p w:rsidR="00154FC6" w:rsidRDefault="00154FC6" w:rsidP="00154FC6"/>
    <w:p w:rsidR="00154FC6" w:rsidRDefault="00154FC6" w:rsidP="00154FC6">
      <w:pPr>
        <w:pStyle w:val="Pieddepage"/>
      </w:pPr>
    </w:p>
    <w:p w:rsidR="00154FC6" w:rsidRDefault="00154FC6" w:rsidP="00154FC6"/>
    <w:p w:rsidR="00E3723A" w:rsidRDefault="00154FC6" w:rsidP="00154FC6">
      <w:r>
        <w:rPr>
          <w:noProof/>
          <w:lang w:eastAsia="fr-FR"/>
        </w:rPr>
        <w:drawing>
          <wp:anchor distT="0" distB="0" distL="114300" distR="114300" simplePos="0" relativeHeight="251659264" behindDoc="0" locked="0" layoutInCell="1" allowOverlap="1">
            <wp:simplePos x="0" y="0"/>
            <wp:positionH relativeFrom="margin">
              <wp:posOffset>4617720</wp:posOffset>
            </wp:positionH>
            <wp:positionV relativeFrom="margin">
              <wp:posOffset>9040495</wp:posOffset>
            </wp:positionV>
            <wp:extent cx="1988185" cy="712470"/>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88185" cy="71247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E3723A">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4FC6" w:rsidRDefault="00154FC6" w:rsidP="00154FC6">
      <w:pPr>
        <w:spacing w:after="0" w:line="240" w:lineRule="auto"/>
      </w:pPr>
      <w:r>
        <w:separator/>
      </w:r>
    </w:p>
  </w:endnote>
  <w:endnote w:type="continuationSeparator" w:id="0">
    <w:p w:rsidR="00154FC6" w:rsidRDefault="00154FC6" w:rsidP="00154F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4FC6" w:rsidRDefault="00154FC6">
    <w:pPr>
      <w:pStyle w:val="Pieddepage"/>
    </w:pPr>
    <w:r>
      <w:t xml:space="preserve">Catalogue des </w:t>
    </w:r>
    <w:r w:rsidRPr="00CC720D">
      <w:t>formation</w:t>
    </w:r>
    <w:r>
      <w:t>s – CSO-CALORIS – version juillet 2024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4FC6" w:rsidRDefault="00154FC6" w:rsidP="00154FC6">
      <w:pPr>
        <w:spacing w:after="0" w:line="240" w:lineRule="auto"/>
      </w:pPr>
      <w:r>
        <w:separator/>
      </w:r>
    </w:p>
  </w:footnote>
  <w:footnote w:type="continuationSeparator" w:id="0">
    <w:p w:rsidR="00154FC6" w:rsidRDefault="00154FC6" w:rsidP="00154F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4FC6" w:rsidRDefault="00E75C5D">
    <w:pPr>
      <w:pStyle w:val="En-tte"/>
    </w:pPr>
    <w:r w:rsidRPr="00E75C5D">
      <w:drawing>
        <wp:anchor distT="0" distB="0" distL="114300" distR="114300" simplePos="0" relativeHeight="251664384" behindDoc="1" locked="0" layoutInCell="1" allowOverlap="1" wp14:anchorId="523429D3" wp14:editId="363569DB">
          <wp:simplePos x="0" y="0"/>
          <wp:positionH relativeFrom="margin">
            <wp:posOffset>4150360</wp:posOffset>
          </wp:positionH>
          <wp:positionV relativeFrom="paragraph">
            <wp:posOffset>-172720</wp:posOffset>
          </wp:positionV>
          <wp:extent cx="565150" cy="328016"/>
          <wp:effectExtent l="0" t="0" r="6350" b="0"/>
          <wp:wrapNone/>
          <wp:docPr id="26" name="Image 26" descr="2017_Logo_ARS-ARA_Normal_Quad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2017_Logo_ARS-ARA_Normal_Quadr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5150" cy="328016"/>
                  </a:xfrm>
                  <a:prstGeom prst="rect">
                    <a:avLst/>
                  </a:prstGeom>
                  <a:noFill/>
                  <a:ln>
                    <a:noFill/>
                  </a:ln>
                </pic:spPr>
              </pic:pic>
            </a:graphicData>
          </a:graphic>
          <wp14:sizeRelH relativeFrom="page">
            <wp14:pctWidth>0</wp14:pctWidth>
          </wp14:sizeRelH>
          <wp14:sizeRelV relativeFrom="page">
            <wp14:pctHeight>0</wp14:pctHeight>
          </wp14:sizeRelV>
        </wp:anchor>
      </w:drawing>
    </w:r>
    <w:r w:rsidRPr="00E75C5D">
      <w:drawing>
        <wp:anchor distT="0" distB="0" distL="114300" distR="114300" simplePos="0" relativeHeight="251663360" behindDoc="0" locked="0" layoutInCell="1" allowOverlap="1" wp14:anchorId="3DC4BFD4" wp14:editId="400006A6">
          <wp:simplePos x="0" y="0"/>
          <wp:positionH relativeFrom="margin">
            <wp:posOffset>3367405</wp:posOffset>
          </wp:positionH>
          <wp:positionV relativeFrom="page">
            <wp:posOffset>103505</wp:posOffset>
          </wp:positionV>
          <wp:extent cx="681355" cy="623570"/>
          <wp:effectExtent l="0" t="0" r="4445" b="5080"/>
          <wp:wrapSquare wrapText="bothSides"/>
          <wp:docPr id="25" name="Image 25" descr="Logo carré - CH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carré - CHU"/>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355" cy="6235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75C5D">
      <w:drawing>
        <wp:anchor distT="0" distB="0" distL="114300" distR="114300" simplePos="0" relativeHeight="251662336" behindDoc="0" locked="0" layoutInCell="1" allowOverlap="1" wp14:anchorId="56B3A94E" wp14:editId="4573097A">
          <wp:simplePos x="0" y="0"/>
          <wp:positionH relativeFrom="margin">
            <wp:posOffset>1685290</wp:posOffset>
          </wp:positionH>
          <wp:positionV relativeFrom="paragraph">
            <wp:posOffset>-446405</wp:posOffset>
          </wp:positionV>
          <wp:extent cx="1552575" cy="747395"/>
          <wp:effectExtent l="0" t="0" r="0" b="0"/>
          <wp:wrapNone/>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png"/>
                  <pic:cNvPicPr/>
                </pic:nvPicPr>
                <pic:blipFill rotWithShape="1">
                  <a:blip r:embed="rId3" cstate="print">
                    <a:extLst>
                      <a:ext uri="{28A0092B-C50C-407E-A947-70E740481C1C}">
                        <a14:useLocalDpi xmlns:a14="http://schemas.microsoft.com/office/drawing/2010/main" val="0"/>
                      </a:ext>
                    </a:extLst>
                  </a:blip>
                  <a:srcRect l="10597" t="19496" b="38285"/>
                  <a:stretch/>
                </pic:blipFill>
                <pic:spPr bwMode="auto">
                  <a:xfrm>
                    <a:off x="0" y="0"/>
                    <a:ext cx="1552575" cy="7473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75C5D">
      <w:drawing>
        <wp:anchor distT="0" distB="0" distL="114300" distR="114300" simplePos="0" relativeHeight="251661312" behindDoc="0" locked="0" layoutInCell="1" allowOverlap="1" wp14:anchorId="55EFCAE5" wp14:editId="6B4791D3">
          <wp:simplePos x="0" y="0"/>
          <wp:positionH relativeFrom="margin">
            <wp:posOffset>-274320</wp:posOffset>
          </wp:positionH>
          <wp:positionV relativeFrom="page">
            <wp:posOffset>112395</wp:posOffset>
          </wp:positionV>
          <wp:extent cx="1923415" cy="689610"/>
          <wp:effectExtent l="0" t="0" r="635" b="0"/>
          <wp:wrapSquare wrapText="bothSides"/>
          <wp:docPr id="23" name="Image 23" descr="CALORIS-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LORIS-logo"/>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923415" cy="689610"/>
                  </a:xfrm>
                  <a:prstGeom prst="rect">
                    <a:avLst/>
                  </a:prstGeom>
                  <a:noFill/>
                  <a:ln>
                    <a:noFill/>
                  </a:ln>
                </pic:spPr>
              </pic:pic>
            </a:graphicData>
          </a:graphic>
          <wp14:sizeRelH relativeFrom="page">
            <wp14:pctWidth>0</wp14:pctWidth>
          </wp14:sizeRelH>
          <wp14:sizeRelV relativeFrom="page">
            <wp14:pctHeight>0</wp14:pctHeight>
          </wp14:sizeRelV>
        </wp:anchor>
      </w:drawing>
    </w:r>
    <w:r w:rsidR="00154FC6">
      <w:rPr>
        <w:noProof/>
        <w:lang w:eastAsia="fr-FR"/>
      </w:rPr>
      <w:drawing>
        <wp:anchor distT="0" distB="0" distL="114300" distR="114300" simplePos="0" relativeHeight="251659264" behindDoc="0" locked="0" layoutInCell="1" allowOverlap="1" wp14:anchorId="19A749FF" wp14:editId="41CE7B67">
          <wp:simplePos x="0" y="0"/>
          <wp:positionH relativeFrom="page">
            <wp:posOffset>10886</wp:posOffset>
          </wp:positionH>
          <wp:positionV relativeFrom="paragraph">
            <wp:posOffset>-447493</wp:posOffset>
          </wp:positionV>
          <wp:extent cx="502906" cy="17353734"/>
          <wp:effectExtent l="0" t="0" r="0" b="0"/>
          <wp:wrapNone/>
          <wp:docPr id="2" name="Image 2" descr="papier-ent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pier-entet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2906" cy="17353734"/>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633CBD"/>
    <w:multiLevelType w:val="hybridMultilevel"/>
    <w:tmpl w:val="C14634AE"/>
    <w:lvl w:ilvl="0" w:tplc="32B22444">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3978616C"/>
    <w:multiLevelType w:val="hybridMultilevel"/>
    <w:tmpl w:val="E0D0382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DF80C0B"/>
    <w:multiLevelType w:val="hybridMultilevel"/>
    <w:tmpl w:val="D0D2BBBC"/>
    <w:lvl w:ilvl="0" w:tplc="32B22444">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81725D4"/>
    <w:multiLevelType w:val="hybridMultilevel"/>
    <w:tmpl w:val="09542E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5F76078B"/>
    <w:multiLevelType w:val="hybridMultilevel"/>
    <w:tmpl w:val="28CCA0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4FC6"/>
    <w:rsid w:val="00154FC6"/>
    <w:rsid w:val="003A6973"/>
    <w:rsid w:val="003F2AAB"/>
    <w:rsid w:val="00883066"/>
    <w:rsid w:val="00CC1586"/>
    <w:rsid w:val="00CC720D"/>
    <w:rsid w:val="00E75C5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3FD15E"/>
  <w15:chartTrackingRefBased/>
  <w15:docId w15:val="{ED741290-23A0-47A2-A9DC-6FB4ECB89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4FC6"/>
  </w:style>
  <w:style w:type="paragraph" w:styleId="Titre1">
    <w:name w:val="heading 1"/>
    <w:basedOn w:val="Normal"/>
    <w:next w:val="Normal"/>
    <w:link w:val="Titre1Car"/>
    <w:uiPriority w:val="9"/>
    <w:qFormat/>
    <w:rsid w:val="00154FC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re2">
    <w:name w:val="heading 2"/>
    <w:basedOn w:val="Titre1"/>
    <w:next w:val="Normal"/>
    <w:link w:val="Titre2Car"/>
    <w:uiPriority w:val="9"/>
    <w:unhideWhenUsed/>
    <w:qFormat/>
    <w:rsid w:val="00154FC6"/>
    <w:pPr>
      <w:keepLines w:val="0"/>
      <w:spacing w:after="60" w:line="276" w:lineRule="auto"/>
      <w:jc w:val="center"/>
      <w:outlineLvl w:val="1"/>
    </w:pPr>
    <w:rPr>
      <w:rFonts w:ascii="Calibri Light" w:eastAsia="Times New Roman" w:hAnsi="Calibri Light" w:cs="Times New Roman"/>
      <w:bCs/>
      <w:color w:val="2F5496"/>
      <w:kern w:val="32"/>
      <w:sz w:val="36"/>
      <w:u w:val="single"/>
    </w:rPr>
  </w:style>
  <w:style w:type="paragraph" w:styleId="Titre3">
    <w:name w:val="heading 3"/>
    <w:basedOn w:val="Titre2"/>
    <w:next w:val="Normal"/>
    <w:link w:val="Titre3Car"/>
    <w:uiPriority w:val="9"/>
    <w:unhideWhenUsed/>
    <w:qFormat/>
    <w:rsid w:val="00154FC6"/>
    <w:pPr>
      <w:spacing w:after="0"/>
      <w:jc w:val="both"/>
      <w:outlineLvl w:val="2"/>
    </w:pPr>
    <w:rPr>
      <w:b/>
      <w:caps/>
      <w:sz w:val="24"/>
    </w:rPr>
  </w:style>
  <w:style w:type="paragraph" w:styleId="Titre4">
    <w:name w:val="heading 4"/>
    <w:basedOn w:val="Titre3"/>
    <w:next w:val="Normal"/>
    <w:link w:val="Titre4Car"/>
    <w:uiPriority w:val="9"/>
    <w:unhideWhenUsed/>
    <w:qFormat/>
    <w:rsid w:val="00154FC6"/>
    <w:pPr>
      <w:spacing w:after="60"/>
      <w:outlineLvl w:val="3"/>
    </w:pPr>
    <w:rPr>
      <w:rFonts w:ascii="Calibri" w:hAnsi="Calibri"/>
      <w:b w:val="0"/>
      <w:bCs w:val="0"/>
      <w:szCs w:val="24"/>
      <w:u w: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54FC6"/>
    <w:pPr>
      <w:spacing w:line="256" w:lineRule="auto"/>
      <w:ind w:left="720"/>
      <w:contextualSpacing/>
    </w:pPr>
  </w:style>
  <w:style w:type="paragraph" w:styleId="En-tte">
    <w:name w:val="header"/>
    <w:basedOn w:val="Normal"/>
    <w:link w:val="En-tteCar"/>
    <w:uiPriority w:val="99"/>
    <w:unhideWhenUsed/>
    <w:rsid w:val="00154FC6"/>
    <w:pPr>
      <w:tabs>
        <w:tab w:val="center" w:pos="4536"/>
        <w:tab w:val="right" w:pos="9072"/>
      </w:tabs>
      <w:spacing w:after="200" w:line="276" w:lineRule="auto"/>
      <w:jc w:val="both"/>
    </w:pPr>
    <w:rPr>
      <w:rFonts w:ascii="Calibri" w:eastAsia="Calibri" w:hAnsi="Calibri" w:cs="Times New Roman"/>
    </w:rPr>
  </w:style>
  <w:style w:type="character" w:customStyle="1" w:styleId="En-tteCar">
    <w:name w:val="En-tête Car"/>
    <w:basedOn w:val="Policepardfaut"/>
    <w:link w:val="En-tte"/>
    <w:uiPriority w:val="99"/>
    <w:rsid w:val="00154FC6"/>
    <w:rPr>
      <w:rFonts w:ascii="Calibri" w:eastAsia="Calibri" w:hAnsi="Calibri" w:cs="Times New Roman"/>
    </w:rPr>
  </w:style>
  <w:style w:type="paragraph" w:styleId="Pieddepage">
    <w:name w:val="footer"/>
    <w:basedOn w:val="Normal"/>
    <w:link w:val="PieddepageCar"/>
    <w:uiPriority w:val="99"/>
    <w:unhideWhenUsed/>
    <w:rsid w:val="00154FC6"/>
    <w:pPr>
      <w:tabs>
        <w:tab w:val="center" w:pos="4536"/>
        <w:tab w:val="right" w:pos="9072"/>
      </w:tabs>
      <w:spacing w:after="200" w:line="276" w:lineRule="auto"/>
      <w:jc w:val="both"/>
    </w:pPr>
    <w:rPr>
      <w:rFonts w:ascii="Calibri" w:eastAsia="Calibri" w:hAnsi="Calibri" w:cs="Times New Roman"/>
    </w:rPr>
  </w:style>
  <w:style w:type="character" w:customStyle="1" w:styleId="PieddepageCar">
    <w:name w:val="Pied de page Car"/>
    <w:basedOn w:val="Policepardfaut"/>
    <w:link w:val="Pieddepage"/>
    <w:uiPriority w:val="99"/>
    <w:rsid w:val="00154FC6"/>
    <w:rPr>
      <w:rFonts w:ascii="Calibri" w:eastAsia="Calibri" w:hAnsi="Calibri" w:cs="Times New Roman"/>
    </w:rPr>
  </w:style>
  <w:style w:type="character" w:customStyle="1" w:styleId="Titre2Car">
    <w:name w:val="Titre 2 Car"/>
    <w:basedOn w:val="Policepardfaut"/>
    <w:link w:val="Titre2"/>
    <w:uiPriority w:val="9"/>
    <w:rsid w:val="00154FC6"/>
    <w:rPr>
      <w:rFonts w:ascii="Calibri Light" w:eastAsia="Times New Roman" w:hAnsi="Calibri Light" w:cs="Times New Roman"/>
      <w:bCs/>
      <w:color w:val="2F5496"/>
      <w:kern w:val="32"/>
      <w:sz w:val="36"/>
      <w:szCs w:val="32"/>
      <w:u w:val="single"/>
    </w:rPr>
  </w:style>
  <w:style w:type="character" w:customStyle="1" w:styleId="Titre3Car">
    <w:name w:val="Titre 3 Car"/>
    <w:basedOn w:val="Policepardfaut"/>
    <w:link w:val="Titre3"/>
    <w:uiPriority w:val="9"/>
    <w:rsid w:val="00154FC6"/>
    <w:rPr>
      <w:rFonts w:ascii="Calibri Light" w:eastAsia="Times New Roman" w:hAnsi="Calibri Light" w:cs="Times New Roman"/>
      <w:b/>
      <w:bCs/>
      <w:caps/>
      <w:color w:val="2F5496"/>
      <w:kern w:val="32"/>
      <w:sz w:val="24"/>
      <w:szCs w:val="32"/>
      <w:u w:val="single"/>
    </w:rPr>
  </w:style>
  <w:style w:type="character" w:customStyle="1" w:styleId="Titre4Car">
    <w:name w:val="Titre 4 Car"/>
    <w:basedOn w:val="Policepardfaut"/>
    <w:link w:val="Titre4"/>
    <w:uiPriority w:val="9"/>
    <w:rsid w:val="00154FC6"/>
    <w:rPr>
      <w:rFonts w:ascii="Calibri" w:eastAsia="Times New Roman" w:hAnsi="Calibri" w:cs="Times New Roman"/>
      <w:caps/>
      <w:color w:val="2F5496"/>
      <w:kern w:val="32"/>
      <w:sz w:val="24"/>
      <w:szCs w:val="24"/>
    </w:rPr>
  </w:style>
  <w:style w:type="character" w:customStyle="1" w:styleId="Titre1Car">
    <w:name w:val="Titre 1 Car"/>
    <w:basedOn w:val="Policepardfaut"/>
    <w:link w:val="Titre1"/>
    <w:uiPriority w:val="9"/>
    <w:rsid w:val="00154FC6"/>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png"/><Relationship Id="rId5" Type="http://schemas.openxmlformats.org/officeDocument/2006/relationships/image" Target="media/image6.jpeg"/><Relationship Id="rId4" Type="http://schemas.openxmlformats.org/officeDocument/2006/relationships/image" Target="media/image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4</Pages>
  <Words>1117</Words>
  <Characters>6145</Characters>
  <Application>Microsoft Office Word</Application>
  <DocSecurity>0</DocSecurity>
  <Lines>51</Lines>
  <Paragraphs>14</Paragraphs>
  <ScaleCrop>false</ScaleCrop>
  <HeadingPairs>
    <vt:vector size="2" baseType="variant">
      <vt:variant>
        <vt:lpstr>Titre</vt:lpstr>
      </vt:variant>
      <vt:variant>
        <vt:i4>1</vt:i4>
      </vt:variant>
    </vt:vector>
  </HeadingPairs>
  <TitlesOfParts>
    <vt:vector size="1" baseType="lpstr">
      <vt:lpstr/>
    </vt:vector>
  </TitlesOfParts>
  <Company>CHU de Clermont-Fd</Company>
  <LinksUpToDate>false</LinksUpToDate>
  <CharactersWithSpaces>7248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 Silva Joanna</dc:creator>
  <cp:keywords/>
  <dc:description/>
  <cp:lastModifiedBy>Da Silva Joanna</cp:lastModifiedBy>
  <cp:revision>4</cp:revision>
  <dcterms:created xsi:type="dcterms:W3CDTF">2024-07-08T14:03:00Z</dcterms:created>
  <dcterms:modified xsi:type="dcterms:W3CDTF">2025-02-24T08:49:00Z</dcterms:modified>
</cp:coreProperties>
</file>